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Вопрос: Как оформить на работу гражданина Республики Беларусь и каков порядок заполнения его трудовой книжки?</w:t>
      </w:r>
    </w:p>
    <w:p>
      <w:pPr>
        <w:pStyle w:val="0"/>
        <w:jc w:val="both"/>
      </w:pPr>
      <w:r>
        <w:rPr>
          <w:sz w:val="20"/>
        </w:rPr>
        <w:t xml:space="preserve">(Консультация эксперта, 2025)</w:t>
      </w:r>
    </w:p>
    <w:p>
      <w:pPr>
        <w:pStyle w:val="0"/>
        <w:spacing w:before="200" w:line-rule="auto"/>
      </w:pPr>
      <w:r>
        <w:rPr>
          <w:sz w:val="20"/>
          <w:b w:val="on"/>
        </w:rPr>
        <w:t xml:space="preserve">Текст документа</w:t>
      </w:r>
    </w:p>
    <w:p>
      <w:pPr>
        <w:pStyle w:val="0"/>
        <w:outlineLvl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right"/>
            </w:pPr>
            <w:r>
              <w:rPr>
                <w:sz w:val="20"/>
                <w:color w:val="392c69"/>
                <w:b w:val="on"/>
              </w:rPr>
              <w:t xml:space="preserve">Актуально на 18.04.2025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460" w:line-rule="auto"/>
      </w:pPr>
      <w:r>
        <w:rPr>
          <w:sz w:val="36"/>
          <w:b w:val="on"/>
        </w:rPr>
        <w:t xml:space="preserve">Как оформить на работу гражданина Республики Беларусь и каков порядок заполнения его трудовой книжки?</w:t>
      </w:r>
    </w:p>
    <w:p>
      <w:pPr>
        <w:pStyle w:val="0"/>
        <w:jc w:val="both"/>
      </w:pPr>
      <w:r>
        <w:rPr>
          <w:sz w:val="36"/>
        </w:rPr>
      </w: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e9500"/>
            <w:tcBorders>
              <w:top w:val="nil"/>
              <w:left w:val="nil"/>
              <w:bottom w:val="nil"/>
              <w:right w:val="nil"/>
            </w:tcBorders>
          </w:tcPr>
          <w:p/>
        </w:tc>
        <w:tc>
          <w:tcPr>
            <w:tcW w:w="180" w:type="dxa"/>
            <w:tcMar>
              <w:top w:w="0" w:type="dxa"/>
              <w:left w:w="0" w:type="dxa"/>
              <w:bottom w:w="0" w:type="dxa"/>
              <w:right w:w="0" w:type="dxa"/>
            </w:tcMar>
            <w:shd w:val="clear" w:fill="f2f4e6"/>
            <w:tcBorders>
              <w:top w:val="nil"/>
              <w:left w:val="nil"/>
              <w:bottom w:val="nil"/>
              <w:right w:val="nil"/>
            </w:tcBorders>
          </w:tcPr>
          <w:p/>
        </w:tc>
        <w:tc>
          <w:tcPr>
            <w:tcW w:w="0" w:type="auto"/>
            <w:tcMar>
              <w:top w:w="180" w:type="dxa"/>
              <w:left w:w="0" w:type="dxa"/>
              <w:bottom w:w="180" w:type="dxa"/>
              <w:right w:w="0" w:type="dxa"/>
            </w:tcMar>
            <w:shd w:val="clear" w:fill="f2f4e6"/>
            <w:tcBorders>
              <w:top w:val="nil"/>
              <w:left w:val="nil"/>
              <w:bottom w:val="nil"/>
              <w:right w:val="nil"/>
            </w:tcBorders>
          </w:tcPr>
          <w:p>
            <w:pPr>
              <w:pStyle w:val="0"/>
              <w:jc w:val="both"/>
            </w:pPr>
            <w:r>
              <w:rPr>
                <w:sz w:val="20"/>
              </w:rPr>
              <w:t xml:space="preserve">Работник оформляется так же, как и российский гражданин, с некоторыми особенностями.</w:t>
            </w:r>
          </w:p>
          <w:p>
            <w:pPr>
              <w:pStyle w:val="0"/>
              <w:jc w:val="both"/>
            </w:pPr>
            <w:r>
              <w:rPr>
                <w:sz w:val="20"/>
              </w:rPr>
              <w:t xml:space="preserve">В обязательном порядке на гражданина Республики Беларусь ведется электронная трудовая книжка. Также в установленных законом случаях наряду с электронной ведется бумажная трудовая книжка по образцам, действующим на территории РФ. Вносить записи в трудовую книжку белорусского образца на территории РФ нельзя.</w:t>
            </w:r>
          </w:p>
          <w:p>
            <w:pPr>
              <w:pStyle w:val="0"/>
              <w:jc w:val="both"/>
            </w:pPr>
            <w:r>
              <w:rPr>
                <w:sz w:val="20"/>
              </w:rPr>
              <w:t xml:space="preserve">При необходимости следует поставить гражданина Республики Беларусь на миграционный учет по месту пребывания.</w:t>
            </w:r>
          </w:p>
        </w:tc>
        <w:tc>
          <w:tcPr>
            <w:tcW w:w="180" w:type="dxa"/>
            <w:tcMar>
              <w:top w:w="0" w:type="dxa"/>
              <w:left w:w="0" w:type="dxa"/>
              <w:bottom w:w="0" w:type="dxa"/>
              <w:right w:w="0" w:type="dxa"/>
            </w:tcMar>
            <w:shd w:val="clear" w:fill="f2f4e6"/>
            <w:tcBorders>
              <w:top w:val="nil"/>
              <w:left w:val="nil"/>
              <w:bottom w:val="nil"/>
              <w:right w:val="nil"/>
            </w:tcBorders>
          </w:tcPr>
          <w:p/>
        </w:tc>
      </w:tr>
    </w:tbl>
    <w:p>
      <w:pPr>
        <w:pStyle w:val="0"/>
        <w:spacing w:before="260" w:line-rule="auto"/>
        <w:jc w:val="both"/>
      </w:pPr>
      <w:r>
        <w:rPr>
          <w:sz w:val="20"/>
        </w:rPr>
        <w:t xml:space="preserve">Работодатели и (или) заказчики работ (услуг) государства - члена ЕАЭС вправе привлекать к осуществлению трудовой деятельности трудящихся государств-членов без учета ограничений по защите национального рынка труда. При этом трудящимся государств-членов не требуется получение разрешения на осуществление трудовой деятельности в государстве трудоустройства (</w:t>
      </w:r>
      <w:r>
        <w:rPr>
          <w:sz w:val="20"/>
        </w:rPr>
        <w:t xml:space="preserve">п. 1 ст. 97</w:t>
      </w:r>
      <w:r>
        <w:rPr>
          <w:sz w:val="20"/>
        </w:rPr>
        <w:t xml:space="preserve"> Договора о Евразийском экономическом союзе (подписан в г. Астане 29.05.2014) (далее - Договор о ЕАЭС)).</w:t>
      </w:r>
    </w:p>
    <w:p>
      <w:pPr>
        <w:pStyle w:val="0"/>
        <w:spacing w:before="200" w:line-rule="auto"/>
        <w:jc w:val="both"/>
      </w:pPr>
      <w:r>
        <w:rPr>
          <w:sz w:val="20"/>
        </w:rPr>
        <w:t xml:space="preserve">Трудовая деятельность трудящегося государства-члена регулируется законодательством государства трудоустройства (</w:t>
      </w:r>
      <w:r>
        <w:rPr>
          <w:sz w:val="20"/>
        </w:rPr>
        <w:t xml:space="preserve">п. 4 ст. 97</w:t>
      </w:r>
      <w:r>
        <w:rPr>
          <w:sz w:val="20"/>
        </w:rPr>
        <w:t xml:space="preserve"> Договора о ЕАЭС).</w:t>
      </w:r>
    </w:p>
    <w:p>
      <w:pPr>
        <w:pStyle w:val="0"/>
        <w:jc w:val="both"/>
      </w:pPr>
      <w:r>
        <w:rPr>
          <w:sz w:val="30"/>
        </w:rPr>
      </w:r>
    </w:p>
    <w:p>
      <w:pPr>
        <w:pStyle w:val="0"/>
        <w:outlineLvl w:val="0"/>
      </w:pPr>
      <w:r>
        <w:rPr>
          <w:sz w:val="30"/>
          <w:b w:val="on"/>
        </w:rPr>
        <w:t xml:space="preserve">Особенности заключения трудового договора с гражданином Республики Беларусь</w:t>
      </w:r>
    </w:p>
    <w:p>
      <w:pPr>
        <w:pStyle w:val="0"/>
        <w:spacing w:before="200" w:line-rule="auto"/>
        <w:jc w:val="both"/>
      </w:pPr>
      <w:r>
        <w:rPr>
          <w:sz w:val="20"/>
        </w:rPr>
        <w:t xml:space="preserve">Трудовое законодательство и иные акты, содержащие нормы трудового права, распространяются на всех работников, заключивших трудовой договор с работодателем, обязательны для применения на всей территории РФ для всех работодателей (юридических и физических лиц независимо от их организационно-правовых форм и форм собственности) (</w:t>
      </w:r>
      <w:r>
        <w:rPr>
          <w:sz w:val="20"/>
        </w:rPr>
        <w:t xml:space="preserve">ч. 1</w:t>
      </w:r>
      <w:r>
        <w:rPr>
          <w:sz w:val="20"/>
        </w:rPr>
        <w:t xml:space="preserve">, </w:t>
      </w:r>
      <w:r>
        <w:rPr>
          <w:sz w:val="20"/>
        </w:rPr>
        <w:t xml:space="preserve">3 ст. 11</w:t>
      </w:r>
      <w:r>
        <w:rPr>
          <w:sz w:val="20"/>
        </w:rPr>
        <w:t xml:space="preserve">, </w:t>
      </w:r>
      <w:r>
        <w:rPr>
          <w:sz w:val="20"/>
        </w:rPr>
        <w:t xml:space="preserve">ч. 1 ст. 15</w:t>
      </w:r>
      <w:r>
        <w:rPr>
          <w:sz w:val="20"/>
        </w:rPr>
        <w:t xml:space="preserve">, </w:t>
      </w:r>
      <w:r>
        <w:rPr>
          <w:sz w:val="20"/>
        </w:rPr>
        <w:t xml:space="preserve">ч. 1 ст. 16</w:t>
      </w:r>
      <w:r>
        <w:rPr>
          <w:sz w:val="20"/>
        </w:rPr>
        <w:t xml:space="preserve"> ТК РФ).</w:t>
      </w:r>
    </w:p>
    <w:p>
      <w:pPr>
        <w:pStyle w:val="0"/>
        <w:spacing w:before="200" w:line-rule="auto"/>
        <w:jc w:val="both"/>
      </w:pPr>
      <w:r>
        <w:rPr>
          <w:sz w:val="20"/>
        </w:rPr>
        <w:t xml:space="preserve">На территории РФ правила, установленные трудовым законодательством и иными актами, содержащими нормы трудового права, распространяются на трудовые отношения с участием иностранных граждан, если иное не предусмотрено ТК РФ, другими федеральными законами или международным договором РФ (</w:t>
      </w:r>
      <w:r>
        <w:rPr>
          <w:sz w:val="20"/>
        </w:rPr>
        <w:t xml:space="preserve">ч. 5 ст. 11</w:t>
      </w:r>
      <w:r>
        <w:rPr>
          <w:sz w:val="20"/>
        </w:rPr>
        <w:t xml:space="preserve"> ТК РФ).</w:t>
      </w:r>
    </w:p>
    <w:p>
      <w:pPr>
        <w:pStyle w:val="0"/>
        <w:spacing w:before="200" w:line-rule="auto"/>
        <w:jc w:val="both"/>
      </w:pPr>
      <w:r>
        <w:rPr>
          <w:sz w:val="20"/>
        </w:rPr>
        <w:t xml:space="preserve">Договаривающиеся стороны обеспечивают гражданам России и Белоруссии равные права на трудоустройство, оплату труда и предоставление других социально-правовых гарантий на территориях России и Белоруссии. Договаривающиеся стороны обеспечивают взаимное признание трудового стажа, включая стаж, исчисляемый в льготном порядке, и стаж работы по специальности, приобретенный в связи с трудовой деятельностью граждан (</w:t>
      </w:r>
      <w:r>
        <w:rPr>
          <w:sz w:val="20"/>
        </w:rPr>
        <w:t xml:space="preserve">ст. 7</w:t>
      </w:r>
      <w:r>
        <w:rPr>
          <w:sz w:val="20"/>
        </w:rPr>
        <w:t xml:space="preserve"> Договора между Российской Федерацией и Республикой Беларусь от 25.12.1998 "О равных правах граждан").</w:t>
      </w:r>
    </w:p>
    <w:p>
      <w:pPr>
        <w:pStyle w:val="0"/>
        <w:spacing w:before="200" w:line-rule="auto"/>
        <w:jc w:val="both"/>
      </w:pPr>
      <w:r>
        <w:rPr>
          <w:sz w:val="20"/>
        </w:rPr>
        <w:t xml:space="preserve">Отметим, что о заключении трудового договора с гражданином Республики Беларусь уведомлять территориальный орган МВД России не нужно (</w:t>
      </w:r>
      <w:r>
        <w:rPr>
          <w:sz w:val="20"/>
        </w:rPr>
        <w:t xml:space="preserve">Постановление</w:t>
      </w:r>
      <w:r>
        <w:rPr>
          <w:sz w:val="20"/>
        </w:rPr>
        <w:t xml:space="preserve"> Верховного Суда РФ от 07.06.2018 N 83-АД18-6).</w:t>
      </w:r>
    </w:p>
    <w:p>
      <w:pPr>
        <w:pStyle w:val="0"/>
        <w:jc w:val="both"/>
      </w:pPr>
      <w:r>
        <w:rPr>
          <w:sz w:val="30"/>
        </w:rPr>
      </w:r>
    </w:p>
    <w:p>
      <w:pPr>
        <w:pStyle w:val="0"/>
        <w:outlineLvl w:val="0"/>
      </w:pPr>
      <w:r>
        <w:rPr>
          <w:sz w:val="30"/>
          <w:b w:val="on"/>
        </w:rPr>
        <w:t xml:space="preserve">Документы, предъявляемые гражданином Республики Беларусь при приеме на работу</w:t>
      </w:r>
    </w:p>
    <w:p>
      <w:pPr>
        <w:pStyle w:val="0"/>
        <w:spacing w:before="200" w:line-rule="auto"/>
        <w:jc w:val="both"/>
      </w:pPr>
      <w:r>
        <w:rPr>
          <w:sz w:val="20"/>
        </w:rPr>
        <w:t xml:space="preserve">При приеме на работу граждане Белоруссии должны предъявить, в частности (</w:t>
      </w:r>
      <w:r>
        <w:rPr>
          <w:sz w:val="20"/>
        </w:rPr>
        <w:t xml:space="preserve">ч. 1 ст. 65</w:t>
      </w:r>
      <w:r>
        <w:rPr>
          <w:sz w:val="20"/>
        </w:rPr>
        <w:t xml:space="preserve"> ТК РФ, </w:t>
      </w:r>
      <w:r>
        <w:rPr>
          <w:sz w:val="20"/>
        </w:rPr>
        <w:t xml:space="preserve">п. 3 ст. 9</w:t>
      </w:r>
      <w:r>
        <w:rPr>
          <w:sz w:val="20"/>
        </w:rPr>
        <w:t xml:space="preserve"> Федерального закона от 01.04.1996 N 27-ФЗ (далее - Закон N 27-ФЗ), </w:t>
      </w:r>
      <w:r>
        <w:rPr>
          <w:sz w:val="20"/>
        </w:rPr>
        <w:t xml:space="preserve">п. 3 ст. 97</w:t>
      </w:r>
      <w:r>
        <w:rPr>
          <w:sz w:val="20"/>
        </w:rPr>
        <w:t xml:space="preserve"> Договора о ЕАЭС):</w:t>
      </w:r>
    </w:p>
    <w:p>
      <w:pPr>
        <w:pStyle w:val="0"/>
        <w:spacing w:before="200" w:line-rule="auto"/>
        <w:ind w:firstLine="-227" w:left="540"/>
        <w:jc w:val="both"/>
        <w:numPr>
          <w:ilvl w:val="0"/>
          <w:numId w:val="1"/>
        </w:numPr>
      </w:pPr>
      <w:r>
        <w:rPr>
          <w:sz w:val="20"/>
        </w:rPr>
        <w:t xml:space="preserve">паспорт или иной документ, удостоверяющий личность.</w:t>
      </w:r>
    </w:p>
    <w:p>
      <w:pPr>
        <w:pStyle w:val="0"/>
        <w:spacing w:before="200" w:line-rule="auto"/>
        <w:ind w:left="540"/>
        <w:jc w:val="both"/>
      </w:pPr>
      <w:r>
        <w:rPr>
          <w:sz w:val="20"/>
        </w:rPr>
        <w:t xml:space="preserve">Виды документов, удостоверяющих личность, указаны в </w:t>
      </w:r>
      <w:r>
        <w:rPr>
          <w:sz w:val="20"/>
        </w:rPr>
        <w:t xml:space="preserve">Классификаторе</w:t>
      </w:r>
      <w:r>
        <w:rPr>
          <w:sz w:val="20"/>
        </w:rPr>
        <w:t xml:space="preserve"> видов документов, удостоверяющих личность, утвержденном Решением Коллегии Евразийской экономической комиссии от 02.04.2019 N 53;</w:t>
      </w:r>
    </w:p>
    <w:p>
      <w:pPr>
        <w:pStyle w:val="0"/>
        <w:spacing w:before="200" w:line-rule="auto"/>
        <w:ind w:firstLine="-227" w:left="540"/>
        <w:jc w:val="both"/>
        <w:numPr>
          <w:ilvl w:val="0"/>
          <w:numId w:val="1"/>
        </w:numPr>
      </w:pPr>
      <w:r>
        <w:rPr>
          <w:sz w:val="20"/>
        </w:rPr>
        <w:t xml:space="preserve">трудовую книжку и (или) сведения о трудовой деятельности, за исключением случаев, если трудовой договор заключается впервые и с учетом положений </w:t>
      </w:r>
      <w:r>
        <w:rPr>
          <w:sz w:val="20"/>
        </w:rPr>
        <w:t xml:space="preserve">ст. 283</w:t>
      </w:r>
      <w:r>
        <w:rPr>
          <w:sz w:val="20"/>
        </w:rPr>
        <w:t xml:space="preserve"> ТК РФ;</w:t>
      </w:r>
    </w:p>
    <w:p>
      <w:pPr>
        <w:pStyle w:val="0"/>
        <w:spacing w:before="200" w:line-rule="auto"/>
        <w:ind w:firstLine="-227" w:left="540"/>
        <w:jc w:val="both"/>
        <w:numPr>
          <w:ilvl w:val="0"/>
          <w:numId w:val="2"/>
        </w:numPr>
      </w:pPr>
      <w:r>
        <w:rPr>
          <w:sz w:val="20"/>
        </w:rPr>
        <w:t xml:space="preserve">документ, подтверждающий регистрацию в системе индивидуального (персонифицированного) учета, в том числе в форме электронного документа.</w:t>
      </w:r>
    </w:p>
    <w:p>
      <w:pPr>
        <w:pStyle w:val="0"/>
        <w:spacing w:before="200" w:line-rule="auto"/>
        <w:ind w:left="540"/>
        <w:jc w:val="both"/>
      </w:pPr>
      <w:r>
        <w:rPr>
          <w:sz w:val="20"/>
        </w:rPr>
        <w:t xml:space="preserve">В случае если на лицо, поступающее на работу впервые, не был открыт индивидуальный лицевой счет, работодателем представляются в соответствующий территориальный орган Фонда пенсионного и социального страхования РФ (далее - СФР) сведения, необходимые для регистрации указанного лица в системе индивидуального (персонифицированного) учета (</w:t>
      </w:r>
      <w:r>
        <w:rPr>
          <w:sz w:val="20"/>
        </w:rPr>
        <w:t xml:space="preserve">ч. 4 ст. 65</w:t>
      </w:r>
      <w:r>
        <w:rPr>
          <w:sz w:val="20"/>
        </w:rPr>
        <w:t xml:space="preserve"> ТК РФ, </w:t>
      </w:r>
      <w:r>
        <w:rPr>
          <w:sz w:val="20"/>
        </w:rPr>
        <w:t xml:space="preserve">п. 1 ст. 9</w:t>
      </w:r>
      <w:r>
        <w:rPr>
          <w:sz w:val="20"/>
        </w:rPr>
        <w:t xml:space="preserve"> Закона N 27-ФЗ, </w:t>
      </w:r>
      <w:r>
        <w:rPr>
          <w:sz w:val="20"/>
        </w:rPr>
        <w:t xml:space="preserve">ст. 1</w:t>
      </w:r>
      <w:r>
        <w:rPr>
          <w:sz w:val="20"/>
        </w:rPr>
        <w:t xml:space="preserve">, </w:t>
      </w:r>
      <w:r>
        <w:rPr>
          <w:sz w:val="20"/>
        </w:rPr>
        <w:t xml:space="preserve">ч. 6 ст. 2</w:t>
      </w:r>
      <w:r>
        <w:rPr>
          <w:sz w:val="20"/>
        </w:rPr>
        <w:t xml:space="preserve">, </w:t>
      </w:r>
      <w:r>
        <w:rPr>
          <w:sz w:val="20"/>
        </w:rPr>
        <w:t xml:space="preserve">ч. 1</w:t>
      </w:r>
      <w:r>
        <w:rPr>
          <w:sz w:val="20"/>
        </w:rPr>
        <w:t xml:space="preserve">, </w:t>
      </w:r>
      <w:r>
        <w:rPr>
          <w:sz w:val="20"/>
        </w:rPr>
        <w:t xml:space="preserve">4 ст. 18</w:t>
      </w:r>
      <w:r>
        <w:rPr>
          <w:sz w:val="20"/>
        </w:rPr>
        <w:t xml:space="preserve"> Федерального закона от 14.07.2022 N 236-ФЗ "О Фонде пенсионного и социального страхования Российской Федерации".</w:t>
      </w:r>
    </w:p>
    <w:p>
      <w:pPr>
        <w:pStyle w:val="0"/>
        <w:spacing w:before="200" w:line-rule="auto"/>
        <w:ind w:left="540"/>
        <w:jc w:val="both"/>
      </w:pPr>
      <w:r>
        <w:rPr>
          <w:sz w:val="20"/>
        </w:rPr>
        <w:t xml:space="preserve">Отметим, что страховое свидетельство ОПС, выданное до 01.04.2019, является документом, идентичным документу, подтверждающему регистрацию в системе индивидуального (персонифицированного) учета (</w:t>
      </w:r>
      <w:r>
        <w:rPr>
          <w:sz w:val="20"/>
        </w:rPr>
        <w:t xml:space="preserve">ст. 7</w:t>
      </w:r>
      <w:r>
        <w:rPr>
          <w:sz w:val="20"/>
        </w:rPr>
        <w:t xml:space="preserve"> Федерального закона от 01.04.2019 N 48-ФЗ);</w:t>
      </w:r>
    </w:p>
    <w:p>
      <w:pPr>
        <w:pStyle w:val="0"/>
        <w:spacing w:before="200" w:line-rule="auto"/>
        <w:ind w:firstLine="-227" w:left="540"/>
        <w:jc w:val="both"/>
        <w:numPr>
          <w:ilvl w:val="0"/>
          <w:numId w:val="2"/>
        </w:numPr>
      </w:pPr>
      <w:r>
        <w:rPr>
          <w:sz w:val="20"/>
        </w:rPr>
        <w:t xml:space="preserve">документ об образовании и (или) о квалификации или наличии специальных знаний - при поступлении на работу, требующую специальных знаний или специальной подготовки (принимается без проведения установленных законодательством РФ процедур признания документов об образовании, за исключением занятия медицинской или фармацевтической деятельностью в РФ). Документы об ученых степенях и званиях, выданные в Республике Беларусь, признаются соответствующими (эквивалентными) документам об ученых степенях и званиях, выданным в РФ (</w:t>
      </w:r>
      <w:r>
        <w:rPr>
          <w:sz w:val="20"/>
        </w:rPr>
        <w:t xml:space="preserve">ст. ст. 10</w:t>
      </w:r>
      <w:r>
        <w:rPr>
          <w:sz w:val="20"/>
        </w:rPr>
        <w:t xml:space="preserve">, </w:t>
      </w:r>
      <w:r>
        <w:rPr>
          <w:sz w:val="20"/>
        </w:rPr>
        <w:t xml:space="preserve">11</w:t>
      </w:r>
      <w:r>
        <w:rPr>
          <w:sz w:val="20"/>
        </w:rPr>
        <w:t xml:space="preserve"> Соглашения между Правительством РФ и Правительством Республики Беларусь о взаимном признании и эквивалентности документов об образовании, ученых степенях и званиях (заключено в г. Москве 27.02.1996));</w:t>
      </w:r>
    </w:p>
    <w:p>
      <w:pPr>
        <w:pStyle w:val="0"/>
        <w:spacing w:before="200" w:line-rule="auto"/>
        <w:ind w:firstLine="-227" w:left="540"/>
        <w:jc w:val="both"/>
        <w:numPr>
          <w:ilvl w:val="0"/>
          <w:numId w:val="2"/>
        </w:numPr>
      </w:pPr>
      <w:r>
        <w:rPr>
          <w:sz w:val="20"/>
        </w:rPr>
        <w:t xml:space="preserve">разрешение на временное проживание, разрешение на временное проживание в целях получения образования либо вид на жительство - при заключении трудового договора с временно проживающим в РФ либо постоянно проживающим в РФ гражданином Республики Беларусь. Сведения о данных документах указываются в трудовом договоре (</w:t>
      </w:r>
      <w:r>
        <w:rPr>
          <w:sz w:val="20"/>
        </w:rPr>
        <w:t xml:space="preserve">ч. 1 ст. 327.2</w:t>
      </w:r>
      <w:r>
        <w:rPr>
          <w:sz w:val="20"/>
        </w:rPr>
        <w:t xml:space="preserve"> ТК РФ);</w:t>
      </w:r>
    </w:p>
    <w:p>
      <w:pPr>
        <w:pStyle w:val="0"/>
        <w:spacing w:before="200" w:line-rule="auto"/>
        <w:ind w:firstLine="-227" w:left="540"/>
        <w:jc w:val="both"/>
        <w:numPr>
          <w:ilvl w:val="0"/>
          <w:numId w:val="2"/>
        </w:numPr>
      </w:pPr>
      <w:r>
        <w:rPr>
          <w:sz w:val="20"/>
        </w:rPr>
        <w:t xml:space="preserve">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 при поступлении на работу, связанную с деятельностью, к осуществлению которой не допускаются лица, имеющие или имевшие судимость, подвергающиеся или подвергавшиеся уголовному преследованию. Например, указанная справка или иной документ с такими же сведениями по определенным преступлениям, выданные компетентным органом Республики Беларусь, с приложением перевода на русский язык требуются при поступлении на работу, непосредственно связанную с управлением легковыми такси, автобусами, трамваями, троллейбусами и подвижным составом внеуличного транспорта при осуществлении перевозок пассажиров и багажа (</w:t>
      </w:r>
      <w:r>
        <w:rPr>
          <w:sz w:val="20"/>
        </w:rPr>
        <w:t xml:space="preserve">ч. 4 ст. 328.1</w:t>
      </w:r>
      <w:r>
        <w:rPr>
          <w:sz w:val="20"/>
        </w:rPr>
        <w:t xml:space="preserve"> ТК РФ).</w:t>
      </w:r>
    </w:p>
    <w:p>
      <w:pPr>
        <w:pStyle w:val="0"/>
        <w:spacing w:before="200" w:line-rule="auto"/>
        <w:jc w:val="both"/>
      </w:pPr>
      <w:r>
        <w:rPr>
          <w:sz w:val="20"/>
        </w:rPr>
        <w:t xml:space="preserve">Стоит отметить, что в отношении работников из Республики Беларусь, являющихся высококвалифицированными специалистами (ВКС), по нашему мнению, не требуется представление при трудоустройстве полиса ДМС, поскольку в отношении них действуют нормы международного законодательства (</w:t>
      </w:r>
      <w:r>
        <w:rPr>
          <w:sz w:val="20"/>
        </w:rPr>
        <w:t xml:space="preserve">ч. 1 ст. 327.3</w:t>
      </w:r>
      <w:r>
        <w:rPr>
          <w:sz w:val="20"/>
        </w:rPr>
        <w:t xml:space="preserve"> ТК РФ, </w:t>
      </w:r>
      <w:r>
        <w:rPr>
          <w:sz w:val="20"/>
        </w:rPr>
        <w:t xml:space="preserve">абз. 1 п. 1</w:t>
      </w:r>
      <w:r>
        <w:rPr>
          <w:sz w:val="20"/>
        </w:rPr>
        <w:t xml:space="preserve">, </w:t>
      </w:r>
      <w:r>
        <w:rPr>
          <w:sz w:val="20"/>
        </w:rPr>
        <w:t xml:space="preserve">абз. 1 п. 2</w:t>
      </w:r>
      <w:r>
        <w:rPr>
          <w:sz w:val="20"/>
        </w:rPr>
        <w:t xml:space="preserve"> Решения Высшего Совета Сообщества Беларуси и России от 22.06.1996 N 4, </w:t>
      </w:r>
      <w:r>
        <w:rPr>
          <w:sz w:val="20"/>
        </w:rPr>
        <w:t xml:space="preserve">ст. ст. 7</w:t>
      </w:r>
      <w:r>
        <w:rPr>
          <w:sz w:val="20"/>
        </w:rPr>
        <w:t xml:space="preserve">, </w:t>
      </w:r>
      <w:r>
        <w:rPr>
          <w:sz w:val="20"/>
        </w:rPr>
        <w:t xml:space="preserve">8</w:t>
      </w:r>
      <w:r>
        <w:rPr>
          <w:sz w:val="20"/>
        </w:rPr>
        <w:t xml:space="preserve"> Договора между Российской Федерацией и Республикой Беларусь от 25.12.1998, </w:t>
      </w:r>
      <w:r>
        <w:rPr>
          <w:sz w:val="20"/>
        </w:rPr>
        <w:t xml:space="preserve">п. 5 ст. 14</w:t>
      </w:r>
      <w:r>
        <w:rPr>
          <w:sz w:val="20"/>
        </w:rPr>
        <w:t xml:space="preserve">, </w:t>
      </w:r>
      <w:r>
        <w:rPr>
          <w:sz w:val="20"/>
        </w:rPr>
        <w:t xml:space="preserve">абз. 15 ст. 18</w:t>
      </w:r>
      <w:r>
        <w:rPr>
          <w:sz w:val="20"/>
        </w:rPr>
        <w:t xml:space="preserve"> Договора между РФ и Республикой Беларусь от 08.12.1999, </w:t>
      </w:r>
      <w:r>
        <w:rPr>
          <w:sz w:val="20"/>
        </w:rPr>
        <w:t xml:space="preserve">ч. 2 ст. 6</w:t>
      </w:r>
      <w:r>
        <w:rPr>
          <w:sz w:val="20"/>
        </w:rPr>
        <w:t xml:space="preserve"> Соглашения между Правительством РФ и Правительством Республики Беларусь от 24.01.2006, </w:t>
      </w:r>
      <w:r>
        <w:rPr>
          <w:sz w:val="20"/>
        </w:rPr>
        <w:t xml:space="preserve">п. 5 ст. 96</w:t>
      </w:r>
      <w:r>
        <w:rPr>
          <w:sz w:val="20"/>
        </w:rPr>
        <w:t xml:space="preserve">, </w:t>
      </w:r>
      <w:r>
        <w:rPr>
          <w:sz w:val="20"/>
        </w:rPr>
        <w:t xml:space="preserve">п. 3 ст. 98</w:t>
      </w:r>
      <w:r>
        <w:rPr>
          <w:sz w:val="20"/>
        </w:rPr>
        <w:t xml:space="preserve"> Договора о ЕАЭС, </w:t>
      </w:r>
      <w:r>
        <w:rPr>
          <w:sz w:val="20"/>
        </w:rPr>
        <w:t xml:space="preserve">Письмо</w:t>
      </w:r>
      <w:r>
        <w:rPr>
          <w:sz w:val="20"/>
        </w:rPr>
        <w:t xml:space="preserve"> Минтруда России от 17.12.2015 N 16-4/В-823).</w:t>
      </w:r>
    </w:p>
    <w:p>
      <w:pPr>
        <w:pStyle w:val="0"/>
        <w:spacing w:before="200" w:line-rule="auto"/>
        <w:jc w:val="both"/>
      </w:pPr>
      <w:r>
        <w:rPr>
          <w:sz w:val="20"/>
        </w:rPr>
        <w:t xml:space="preserve">Гражданин Республики Беларусь при приеме на работу по общему правилу не должен предъявлять работодателю документы воинского учета (</w:t>
      </w:r>
      <w:r>
        <w:rPr>
          <w:sz w:val="20"/>
        </w:rPr>
        <w:t xml:space="preserve">ч. 3 ст. 327.3</w:t>
      </w:r>
      <w:r>
        <w:rPr>
          <w:sz w:val="20"/>
        </w:rPr>
        <w:t xml:space="preserve"> ТК РФ).</w:t>
      </w:r>
    </w:p>
    <w:p>
      <w:pPr>
        <w:pStyle w:val="0"/>
        <w:jc w:val="both"/>
      </w:pPr>
      <w:r>
        <w:rPr>
          <w:sz w:val="30"/>
        </w:rPr>
      </w:r>
    </w:p>
    <w:p>
      <w:pPr>
        <w:pStyle w:val="0"/>
        <w:outlineLvl w:val="0"/>
      </w:pPr>
      <w:r>
        <w:rPr>
          <w:sz w:val="30"/>
          <w:b w:val="on"/>
        </w:rPr>
        <w:t xml:space="preserve">Заполнение трудовой книжки гражданина Республики Беларусь и представление сведений о его трудовой деятельности</w:t>
      </w:r>
    </w:p>
    <w:p>
      <w:pPr>
        <w:pStyle w:val="0"/>
        <w:spacing w:before="200" w:line-rule="auto"/>
        <w:jc w:val="both"/>
      </w:pPr>
      <w:r>
        <w:rPr>
          <w:sz w:val="20"/>
        </w:rPr>
        <w:t xml:space="preserve">Работодатель обязан формировать в электронном виде сведения о трудовой деятельности работника и представлять их для хранения в информационных ресурсах СФР (</w:t>
      </w:r>
      <w:r>
        <w:rPr>
          <w:sz w:val="20"/>
        </w:rPr>
        <w:t xml:space="preserve">ст. 66.1</w:t>
      </w:r>
      <w:r>
        <w:rPr>
          <w:sz w:val="20"/>
        </w:rPr>
        <w:t xml:space="preserve"> ТК РФ). Данное требование распространяется и на иностранных работников.</w:t>
      </w:r>
    </w:p>
    <w:p>
      <w:pPr>
        <w:pStyle w:val="0"/>
        <w:spacing w:before="200" w:line-rule="auto"/>
        <w:jc w:val="both"/>
      </w:pPr>
      <w:r>
        <w:rPr>
          <w:sz w:val="20"/>
        </w:rPr>
        <w:t xml:space="preserve">В случае приема на работу гражданина Республики Беларусь работодатель должен представить сведения о трудовой деятельности гражданина Республики Беларусь в орган СФР по </w:t>
      </w:r>
      <w:r>
        <w:rPr>
          <w:sz w:val="20"/>
        </w:rPr>
        <w:t xml:space="preserve">форме ЕФС-1</w:t>
      </w:r>
      <w:r>
        <w:rPr>
          <w:sz w:val="20"/>
        </w:rPr>
        <w:t xml:space="preserve"> не позднее рабочего дня, следующего за днем издания приказа (распоряжения), документа или принятия иного решения, которые подтверждают оформление трудовых отношений (</w:t>
      </w:r>
      <w:r>
        <w:rPr>
          <w:sz w:val="20"/>
        </w:rPr>
        <w:t xml:space="preserve">ч. 1 ст. 66.1</w:t>
      </w:r>
      <w:r>
        <w:rPr>
          <w:sz w:val="20"/>
        </w:rPr>
        <w:t xml:space="preserve"> ТК РФ, </w:t>
      </w:r>
      <w:r>
        <w:rPr>
          <w:sz w:val="20"/>
        </w:rPr>
        <w:t xml:space="preserve">п. 2.1 ст. 6</w:t>
      </w:r>
      <w:r>
        <w:rPr>
          <w:sz w:val="20"/>
        </w:rPr>
        <w:t xml:space="preserve">, </w:t>
      </w:r>
      <w:r>
        <w:rPr>
          <w:sz w:val="20"/>
        </w:rPr>
        <w:t xml:space="preserve">п. 2 ст. 8</w:t>
      </w:r>
      <w:r>
        <w:rPr>
          <w:sz w:val="20"/>
        </w:rPr>
        <w:t xml:space="preserve">, </w:t>
      </w:r>
      <w:r>
        <w:rPr>
          <w:sz w:val="20"/>
        </w:rPr>
        <w:t xml:space="preserve">пп. 4 п. 2</w:t>
      </w:r>
      <w:r>
        <w:rPr>
          <w:sz w:val="20"/>
        </w:rPr>
        <w:t xml:space="preserve">, </w:t>
      </w:r>
      <w:r>
        <w:rPr>
          <w:sz w:val="20"/>
        </w:rPr>
        <w:t xml:space="preserve">пп. 2 п. 5 ст. 11</w:t>
      </w:r>
      <w:r>
        <w:rPr>
          <w:sz w:val="20"/>
        </w:rPr>
        <w:t xml:space="preserve"> Закона N 27-ФЗ, </w:t>
      </w:r>
      <w:r>
        <w:rPr>
          <w:sz w:val="20"/>
        </w:rPr>
        <w:t xml:space="preserve">п. 4</w:t>
      </w:r>
      <w:r>
        <w:rPr>
          <w:sz w:val="20"/>
        </w:rPr>
        <w:t xml:space="preserve"> Порядка заполнения единой формы ЕФС-1, утв. Приказом СФР от 17.11.2023 N 2281).</w:t>
      </w:r>
    </w:p>
    <w:p>
      <w:pPr>
        <w:pStyle w:val="0"/>
        <w:spacing w:before="200" w:line-rule="auto"/>
        <w:jc w:val="both"/>
      </w:pPr>
      <w:r>
        <w:rPr>
          <w:sz w:val="20"/>
        </w:rPr>
        <w:t xml:space="preserve">Оформлять и вести на территории РФ бумажные трудовые книжки наряду с электронными сведениями о трудовой деятельности необходимо, если работник впервые был трудоустроен до 01.01.2021 и не подавал письменное заявление о предоставлении ему сведений о трудовой деятельности (</w:t>
      </w:r>
      <w:r>
        <w:rPr>
          <w:sz w:val="20"/>
        </w:rPr>
        <w:t xml:space="preserve">ст. ст. 66</w:t>
      </w:r>
      <w:r>
        <w:rPr>
          <w:sz w:val="20"/>
        </w:rPr>
        <w:t xml:space="preserve">, </w:t>
      </w:r>
      <w:r>
        <w:rPr>
          <w:sz w:val="20"/>
        </w:rPr>
        <w:t xml:space="preserve">66.1</w:t>
      </w:r>
      <w:r>
        <w:rPr>
          <w:sz w:val="20"/>
        </w:rPr>
        <w:t xml:space="preserve"> ТК РФ, </w:t>
      </w:r>
      <w:r>
        <w:rPr>
          <w:sz w:val="20"/>
        </w:rPr>
        <w:t xml:space="preserve">ч. 2</w:t>
      </w:r>
      <w:r>
        <w:rPr>
          <w:sz w:val="20"/>
        </w:rPr>
        <w:t xml:space="preserve">, </w:t>
      </w:r>
      <w:r>
        <w:rPr>
          <w:sz w:val="20"/>
        </w:rPr>
        <w:t xml:space="preserve">8 ст. 2</w:t>
      </w:r>
      <w:r>
        <w:rPr>
          <w:sz w:val="20"/>
        </w:rPr>
        <w:t xml:space="preserve"> Федерального закона от 16.12.2019 N 439-ФЗ).</w:t>
      </w:r>
    </w:p>
    <w:p>
      <w:pPr>
        <w:pStyle w:val="0"/>
        <w:spacing w:before="200" w:line-rule="auto"/>
        <w:jc w:val="both"/>
      </w:pPr>
      <w:r>
        <w:rPr>
          <w:sz w:val="20"/>
        </w:rPr>
        <w:t xml:space="preserve">На территории РФ применяются формы трудовых книжек, введенные в действие </w:t>
      </w:r>
      <w:r>
        <w:rPr>
          <w:sz w:val="20"/>
        </w:rPr>
        <w:t xml:space="preserve">Постановлением</w:t>
      </w:r>
      <w:r>
        <w:rPr>
          <w:sz w:val="20"/>
        </w:rPr>
        <w:t xml:space="preserve"> Совета Народных Комиссаров СССР от 20.12.1938 N 1320, </w:t>
      </w:r>
      <w:r>
        <w:rPr>
          <w:sz w:val="20"/>
        </w:rPr>
        <w:t xml:space="preserve">Постановлением</w:t>
      </w:r>
      <w:r>
        <w:rPr>
          <w:sz w:val="20"/>
        </w:rPr>
        <w:t xml:space="preserve"> Совмина СССР и ВЦСПС от 06.09.1973 N 656, </w:t>
      </w:r>
      <w:r>
        <w:rPr>
          <w:sz w:val="20"/>
        </w:rPr>
        <w:t xml:space="preserve">Постановлением</w:t>
      </w:r>
      <w:r>
        <w:rPr>
          <w:sz w:val="20"/>
        </w:rPr>
        <w:t xml:space="preserve"> Совмина СССР от 21.04.1975 N 310, </w:t>
      </w:r>
      <w:r>
        <w:rPr>
          <w:sz w:val="20"/>
        </w:rPr>
        <w:t xml:space="preserve">Постановлением</w:t>
      </w:r>
      <w:r>
        <w:rPr>
          <w:sz w:val="20"/>
        </w:rPr>
        <w:t xml:space="preserve"> Правительства РФ от 16.04.2003 N 225, а также </w:t>
      </w:r>
      <w:r>
        <w:rPr>
          <w:sz w:val="20"/>
        </w:rPr>
        <w:t xml:space="preserve">Приказом</w:t>
      </w:r>
      <w:r>
        <w:rPr>
          <w:sz w:val="20"/>
        </w:rPr>
        <w:t xml:space="preserve"> Минтруда России от 19.05.2021 N 320н.</w:t>
      </w:r>
    </w:p>
    <w:p>
      <w:pPr>
        <w:pStyle w:val="0"/>
        <w:spacing w:before="200" w:line-rule="auto"/>
        <w:jc w:val="both"/>
      </w:pPr>
      <w:r>
        <w:rPr>
          <w:sz w:val="20"/>
        </w:rPr>
        <w:t xml:space="preserve">Таким образом, если гражданин Республики Беларусь предоставил трудовую книжку образца, действующего на территории РФ (выданную в странах бывшего СССР либо ранее другим работодателем в РФ), то ее нужно продолжать вести (при условии, что работник не подал письменное заявление о предоставлении ему сведений о трудовой деятельности).</w:t>
      </w:r>
    </w:p>
    <w:p>
      <w:pPr>
        <w:pStyle w:val="0"/>
        <w:spacing w:before="200" w:line-rule="auto"/>
        <w:jc w:val="both"/>
      </w:pPr>
      <w:r>
        <w:rPr>
          <w:sz w:val="20"/>
        </w:rPr>
        <w:t xml:space="preserve">Если же гражданином Республики Беларусь при трудоустройстве представлена трудовая книжка, которая не соответствует </w:t>
      </w:r>
      <w:r>
        <w:rPr>
          <w:sz w:val="20"/>
        </w:rPr>
        <w:t xml:space="preserve">форме</w:t>
      </w:r>
      <w:r>
        <w:rPr>
          <w:sz w:val="20"/>
        </w:rPr>
        <w:t xml:space="preserve">, признаваемой на территории РФ, то продолжать вести ее нельзя. В данном случае, по нашему мнению, на работника нужно формировать сведения о трудовой деятельности (то есть вести так называемую электронную трудовую книжку).</w:t>
      </w:r>
    </w:p>
    <w:p>
      <w:pPr>
        <w:pStyle w:val="0"/>
        <w:jc w:val="both"/>
      </w:pPr>
      <w:r>
        <w:rPr>
          <w:sz w:val="30"/>
        </w:rPr>
      </w:r>
    </w:p>
    <w:p>
      <w:pPr>
        <w:pStyle w:val="0"/>
        <w:outlineLvl w:val="0"/>
      </w:pPr>
      <w:r>
        <w:rPr>
          <w:sz w:val="30"/>
          <w:b w:val="on"/>
        </w:rPr>
        <w:t xml:space="preserve">Постановка гражданина Республики Беларусь на миграционный учет</w:t>
      </w:r>
    </w:p>
    <w:p>
      <w:pPr>
        <w:pStyle w:val="0"/>
        <w:spacing w:before="200" w:line-rule="auto"/>
        <w:jc w:val="both"/>
      </w:pPr>
      <w:r>
        <w:rPr>
          <w:sz w:val="20"/>
        </w:rPr>
        <w:t xml:space="preserve">Граждане Республики Беларусь в течение 90 дней с даты въезда освобождаются от регистрации в компетентных органах по месту пребывания. По истечении 90-дневного срока граждане Белоруссии подлежат постановке на миграционный учет (</w:t>
      </w:r>
      <w:r>
        <w:rPr>
          <w:sz w:val="20"/>
        </w:rPr>
        <w:t xml:space="preserve">ст. 3</w:t>
      </w:r>
      <w:r>
        <w:rPr>
          <w:sz w:val="20"/>
        </w:rPr>
        <w:t xml:space="preserve"> Соглашения между Российской Федерацией и Республикой Беларусь (заключено в г. Санкт-Петербурге 24.01.2006), </w:t>
      </w:r>
      <w:r>
        <w:rPr>
          <w:sz w:val="20"/>
        </w:rPr>
        <w:t xml:space="preserve">ч. 3 ст. 7</w:t>
      </w:r>
      <w:r>
        <w:rPr>
          <w:sz w:val="20"/>
        </w:rPr>
        <w:t xml:space="preserve">, </w:t>
      </w:r>
      <w:r>
        <w:rPr>
          <w:sz w:val="20"/>
        </w:rPr>
        <w:t xml:space="preserve">ч. 1 ст. 20</w:t>
      </w:r>
      <w:r>
        <w:rPr>
          <w:sz w:val="20"/>
        </w:rPr>
        <w:t xml:space="preserve"> Федерального закона от 18.07.2006 N 109-ФЗ "О миграционном учете иностранных граждан и лиц без гражданства в Российской Федерации" (далее - Закон N 109-ФЗ)).</w:t>
      </w:r>
    </w:p>
    <w:p>
      <w:pPr>
        <w:pStyle w:val="0"/>
        <w:spacing w:before="200" w:line-rule="auto"/>
        <w:jc w:val="both"/>
      </w:pPr>
      <w:r>
        <w:rPr>
          <w:sz w:val="20"/>
        </w:rPr>
        <w:t xml:space="preserve">У работников из Белоруссии нет документов, подтверждающих дату въезда в РФ, так как при пересечении российско-белорусской границы штамп не ставится и миграционная карта не заполняется. В этом случае работодатель может ориентироваться на железнодорожные, авиа- или автобусные билеты (если работник их готов представить) (</w:t>
      </w:r>
      <w:r>
        <w:rPr>
          <w:sz w:val="20"/>
        </w:rPr>
        <w:t xml:space="preserve">п. 2</w:t>
      </w:r>
      <w:r>
        <w:rPr>
          <w:sz w:val="20"/>
        </w:rPr>
        <w:t xml:space="preserve"> Письма ФМС России от 21.01.2005 N МС-2/559).</w:t>
      </w:r>
    </w:p>
    <w:p>
      <w:pPr>
        <w:pStyle w:val="0"/>
        <w:spacing w:before="200" w:line-rule="auto"/>
        <w:jc w:val="both"/>
      </w:pPr>
      <w:r>
        <w:rPr>
          <w:sz w:val="20"/>
        </w:rPr>
        <w:t xml:space="preserve">После истечения вышеуказанного срока постановка на миграционный учет по месту пребывания осуществляется в общем порядке. Так, если гражданин Республики Беларусь уже получил статус временно или постоянно проживающего в РФ, был зарегистрирован по месту жительства и его необходимо поставить на миграционный учет по месту пребывания, то, на наш взгляд, срок составляет 7 рабочих дней либо 1 рабочий день, если гражданин осуществляет работу в организации вахтовым методом и подлежит постановке на учет по месту пребывания по адресу указанной организации. Отдельные сроки установлены также для ВКС. Основанием для постановки лица на учет по месту пребывания является получение территориальным органом МВД России уведомления о прибытии иностранного гражданина в место пребывания (</w:t>
      </w:r>
      <w:r>
        <w:rPr>
          <w:sz w:val="20"/>
        </w:rPr>
        <w:t xml:space="preserve">ч. 2</w:t>
      </w:r>
      <w:r>
        <w:rPr>
          <w:sz w:val="20"/>
        </w:rPr>
        <w:t xml:space="preserve">, </w:t>
      </w:r>
      <w:r>
        <w:rPr>
          <w:sz w:val="20"/>
        </w:rPr>
        <w:t xml:space="preserve">3 ст. 7</w:t>
      </w:r>
      <w:r>
        <w:rPr>
          <w:sz w:val="20"/>
        </w:rPr>
        <w:t xml:space="preserve">, </w:t>
      </w:r>
      <w:r>
        <w:rPr>
          <w:sz w:val="20"/>
        </w:rPr>
        <w:t xml:space="preserve">ч. 2</w:t>
      </w:r>
      <w:r>
        <w:rPr>
          <w:sz w:val="20"/>
        </w:rPr>
        <w:t xml:space="preserve">, </w:t>
      </w:r>
      <w:r>
        <w:rPr>
          <w:sz w:val="20"/>
        </w:rPr>
        <w:t xml:space="preserve">3</w:t>
      </w:r>
      <w:r>
        <w:rPr>
          <w:sz w:val="20"/>
        </w:rPr>
        <w:t xml:space="preserve">, </w:t>
      </w:r>
      <w:r>
        <w:rPr>
          <w:sz w:val="20"/>
        </w:rPr>
        <w:t xml:space="preserve">3.1</w:t>
      </w:r>
      <w:r>
        <w:rPr>
          <w:sz w:val="20"/>
        </w:rPr>
        <w:t xml:space="preserve">, </w:t>
      </w:r>
      <w:r>
        <w:rPr>
          <w:sz w:val="20"/>
        </w:rPr>
        <w:t xml:space="preserve">4.1 ст. 20</w:t>
      </w:r>
      <w:r>
        <w:rPr>
          <w:sz w:val="20"/>
        </w:rPr>
        <w:t xml:space="preserve">, </w:t>
      </w:r>
      <w:r>
        <w:rPr>
          <w:sz w:val="20"/>
        </w:rPr>
        <w:t xml:space="preserve">ч. 1 ст. 22</w:t>
      </w:r>
      <w:r>
        <w:rPr>
          <w:sz w:val="20"/>
        </w:rPr>
        <w:t xml:space="preserve"> Закона N 109-ФЗ, </w:t>
      </w:r>
      <w:r>
        <w:rPr>
          <w:sz w:val="20"/>
        </w:rPr>
        <w:t xml:space="preserve">п. п. 20</w:t>
      </w:r>
      <w:r>
        <w:rPr>
          <w:sz w:val="20"/>
        </w:rPr>
        <w:t xml:space="preserve">, </w:t>
      </w:r>
      <w:r>
        <w:rPr>
          <w:sz w:val="20"/>
        </w:rPr>
        <w:t xml:space="preserve">20(1)</w:t>
      </w:r>
      <w:r>
        <w:rPr>
          <w:sz w:val="20"/>
        </w:rPr>
        <w:t xml:space="preserve">, </w:t>
      </w:r>
      <w:r>
        <w:rPr>
          <w:sz w:val="20"/>
        </w:rPr>
        <w:t xml:space="preserve">21</w:t>
      </w:r>
      <w:r>
        <w:rPr>
          <w:sz w:val="20"/>
        </w:rPr>
        <w:t xml:space="preserve">, </w:t>
      </w:r>
      <w:r>
        <w:rPr>
          <w:sz w:val="20"/>
        </w:rPr>
        <w:t xml:space="preserve">44</w:t>
      </w:r>
      <w:r>
        <w:rPr>
          <w:sz w:val="20"/>
        </w:rPr>
        <w:t xml:space="preserve"> Правил осуществления миграционного учета иностранных граждан и лиц без гражданства в РФ, утв. Постановлением Правительства РФ от 15.01.2007 N 9 (далее - Правила)).</w:t>
      </w:r>
    </w:p>
    <w:p>
      <w:pPr>
        <w:pStyle w:val="0"/>
        <w:spacing w:before="200" w:line-rule="auto"/>
        <w:jc w:val="both"/>
      </w:pPr>
      <w:r>
        <w:rPr>
          <w:sz w:val="20"/>
        </w:rPr>
        <w:t xml:space="preserve">Уведомление о прибытии представляется в территориальный орган МВД России принимающей стороной или в установленных случаях непосредственно иностранным гражданином (</w:t>
      </w:r>
      <w:r>
        <w:rPr>
          <w:sz w:val="20"/>
        </w:rPr>
        <w:t xml:space="preserve">ч. 2 ст. 20</w:t>
      </w:r>
      <w:r>
        <w:rPr>
          <w:sz w:val="20"/>
        </w:rPr>
        <w:t xml:space="preserve">, </w:t>
      </w:r>
      <w:r>
        <w:rPr>
          <w:sz w:val="20"/>
        </w:rPr>
        <w:t xml:space="preserve">пп. "а" п. 2 ч. 2 ст. 22</w:t>
      </w:r>
      <w:r>
        <w:rPr>
          <w:sz w:val="20"/>
        </w:rPr>
        <w:t xml:space="preserve"> Закона N 109-ФЗ).</w:t>
      </w:r>
    </w:p>
    <w:p>
      <w:pPr>
        <w:pStyle w:val="0"/>
        <w:spacing w:before="200" w:line-rule="auto"/>
        <w:jc w:val="both"/>
      </w:pPr>
      <w:r>
        <w:rPr>
          <w:sz w:val="20"/>
        </w:rPr>
        <w:t xml:space="preserve">Принимающей стороной могут быть, в частности (</w:t>
      </w:r>
      <w:r>
        <w:rPr>
          <w:sz w:val="20"/>
        </w:rPr>
        <w:t xml:space="preserve">п. 7 ч. 1 ст. 2</w:t>
      </w:r>
      <w:r>
        <w:rPr>
          <w:sz w:val="20"/>
        </w:rPr>
        <w:t xml:space="preserve">, </w:t>
      </w:r>
      <w:r>
        <w:rPr>
          <w:sz w:val="20"/>
        </w:rPr>
        <w:t xml:space="preserve">ч. 2 ст. 21</w:t>
      </w:r>
      <w:r>
        <w:rPr>
          <w:sz w:val="20"/>
        </w:rPr>
        <w:t xml:space="preserve"> Закона N 109-ФЗ):</w:t>
      </w:r>
    </w:p>
    <w:p>
      <w:pPr>
        <w:pStyle w:val="0"/>
        <w:spacing w:before="200" w:line-rule="auto"/>
        <w:ind w:firstLine="-227" w:left="540"/>
        <w:jc w:val="both"/>
        <w:numPr>
          <w:ilvl w:val="0"/>
          <w:numId w:val="3"/>
        </w:numPr>
      </w:pPr>
      <w:r>
        <w:rPr>
          <w:sz w:val="20"/>
        </w:rPr>
        <w:t xml:space="preserve">граждане РФ, постоянно проживающие в РФ иностранные граждане или лица без гражданства, юридические лица, филиалы или представительства, предоставившие гражданину для фактического проживания жилое или иное помещение;</w:t>
      </w:r>
    </w:p>
    <w:p>
      <w:pPr>
        <w:pStyle w:val="0"/>
        <w:spacing w:before="200" w:line-rule="auto"/>
        <w:ind w:firstLine="-227" w:left="540"/>
        <w:jc w:val="both"/>
        <w:numPr>
          <w:ilvl w:val="0"/>
          <w:numId w:val="3"/>
        </w:numPr>
      </w:pPr>
      <w:r>
        <w:rPr>
          <w:sz w:val="20"/>
        </w:rPr>
        <w:t xml:space="preserve">организация, в которой гражданин осуществляет трудовую или иную не запрещенную законодательством РФ деятельность, если он фактически проживает по адресу этой организации либо в помещении указанной организации, не имеющем адресных данных (строении, сооружении), в том числе временном.</w:t>
      </w:r>
    </w:p>
    <w:p>
      <w:pPr>
        <w:pStyle w:val="0"/>
        <w:spacing w:before="200" w:line-rule="auto"/>
        <w:jc w:val="both"/>
      </w:pPr>
      <w:r>
        <w:rPr>
          <w:sz w:val="20"/>
        </w:rPr>
        <w:t xml:space="preserve">Иностранный гражданин подлежит постановке на учет по месту пребывания по адресу организации, в которой он в установленном порядке осуществляет трудовую или иную не запрещенную законодательством РФ деятельность, в случае фактического проживания по адресу указанной организации либо в помещении указанной организации, не имеющем адресных данных (строении, сооружении), в том числе временном (</w:t>
      </w:r>
      <w:r>
        <w:rPr>
          <w:sz w:val="20"/>
        </w:rPr>
        <w:t xml:space="preserve">ч. 2 ст. 21</w:t>
      </w:r>
      <w:r>
        <w:rPr>
          <w:sz w:val="20"/>
        </w:rPr>
        <w:t xml:space="preserve"> Закона N 109-ФЗ, </w:t>
      </w:r>
      <w:r>
        <w:rPr>
          <w:sz w:val="20"/>
        </w:rPr>
        <w:t xml:space="preserve">п. 6</w:t>
      </w:r>
      <w:r>
        <w:rPr>
          <w:sz w:val="20"/>
        </w:rPr>
        <w:t xml:space="preserve"> Решения Конституционного Суда РФ от 09.11.2017).</w:t>
      </w:r>
    </w:p>
    <w:p>
      <w:pPr>
        <w:pStyle w:val="0"/>
        <w:spacing w:before="200" w:line-rule="auto"/>
        <w:jc w:val="both"/>
      </w:pPr>
      <w:r>
        <w:rPr>
          <w:sz w:val="20"/>
        </w:rPr>
        <w:t xml:space="preserve">Таким образом, если организация, в которую устраивается на работу гражданин Республики Беларусь, будет принимающей стороной, то постановка его на миграционный учет должна осуществляться с учетом вышеуказанных сроков.</w:t>
      </w:r>
    </w:p>
    <w:p>
      <w:pPr>
        <w:pStyle w:val="0"/>
        <w:spacing w:before="200" w:line-rule="auto"/>
        <w:jc w:val="both"/>
      </w:pPr>
      <w:r>
        <w:rPr>
          <w:sz w:val="20"/>
        </w:rPr>
        <w:t xml:space="preserve">Если принимающей стороной является организация, уведомление о прибытии представляется (направляется) ответственным лицом организации, сведения о котором указываются в уведомлении. Уведомление в орган миграционного учета по общему правилу можно представить лично, в электронной форме, через подведомственное предприятие или уполномоченную организацию, через МФЦ либо направить почтовым отправлением. К уведомлению прилагаются копии необходимых документов (</w:t>
      </w:r>
      <w:r>
        <w:rPr>
          <w:sz w:val="20"/>
        </w:rPr>
        <w:t xml:space="preserve">пп. "а" п. 2 ч. 2 ст. 22</w:t>
      </w:r>
      <w:r>
        <w:rPr>
          <w:sz w:val="20"/>
        </w:rPr>
        <w:t xml:space="preserve"> Закона N 109-ФЗ, </w:t>
      </w:r>
      <w:r>
        <w:rPr>
          <w:sz w:val="20"/>
        </w:rPr>
        <w:t xml:space="preserve">п. п. 22</w:t>
      </w:r>
      <w:r>
        <w:rPr>
          <w:sz w:val="20"/>
        </w:rPr>
        <w:t xml:space="preserve">, </w:t>
      </w:r>
      <w:r>
        <w:rPr>
          <w:sz w:val="20"/>
        </w:rPr>
        <w:t xml:space="preserve">28(1)</w:t>
      </w:r>
      <w:r>
        <w:rPr>
          <w:sz w:val="20"/>
        </w:rPr>
        <w:t xml:space="preserve"> - </w:t>
      </w:r>
      <w:r>
        <w:rPr>
          <w:sz w:val="20"/>
        </w:rPr>
        <w:t xml:space="preserve">28(4)</w:t>
      </w:r>
      <w:r>
        <w:rPr>
          <w:sz w:val="20"/>
        </w:rPr>
        <w:t xml:space="preserve"> Правил).</w:t>
      </w:r>
    </w:p>
    <w:p>
      <w:pPr>
        <w:pStyle w:val="0"/>
        <w:spacing w:before="200" w:line-rule="auto"/>
        <w:jc w:val="both"/>
      </w:pPr>
      <w:r>
        <w:rPr>
          <w:sz w:val="20"/>
        </w:rPr>
        <w:t xml:space="preserve">В отношении временно пребывающих в РФ иностранных граждан постановка на учет по месту пребывания осуществляется на срок, заявленный в уведомлении, но не более чем на один год (</w:t>
      </w:r>
      <w:r>
        <w:rPr>
          <w:sz w:val="20"/>
        </w:rPr>
        <w:t xml:space="preserve">ч. 6.1 ст. 22</w:t>
      </w:r>
      <w:r>
        <w:rPr>
          <w:sz w:val="20"/>
        </w:rPr>
        <w:t xml:space="preserve"> Закона N 109-ФЗ).</w:t>
      </w:r>
    </w:p>
    <w:p>
      <w:pPr>
        <w:pStyle w:val="0"/>
        <w:spacing w:before="200" w:line-rule="auto"/>
        <w:jc w:val="both"/>
      </w:pPr>
      <w:r>
        <w:rPr>
          <w:sz w:val="20"/>
        </w:rPr>
        <w:t xml:space="preserve">Если принимающей стороной организация не является, постановку на миграционный учет осуществляет другая принимающая сторона, указанная в </w:t>
      </w:r>
      <w:r>
        <w:rPr>
          <w:sz w:val="20"/>
        </w:rPr>
        <w:t xml:space="preserve">п. 7 ч. 1 ст. 2</w:t>
      </w:r>
      <w:r>
        <w:rPr>
          <w:sz w:val="20"/>
        </w:rPr>
        <w:t xml:space="preserve"> Закона N 109-ФЗ, либо сам иностранный гражданин в случаях, предусмотренных </w:t>
      </w:r>
      <w:r>
        <w:rPr>
          <w:sz w:val="20"/>
        </w:rPr>
        <w:t xml:space="preserve">ч. 3</w:t>
      </w:r>
      <w:r>
        <w:rPr>
          <w:sz w:val="20"/>
        </w:rPr>
        <w:t xml:space="preserve"> - </w:t>
      </w:r>
      <w:r>
        <w:rPr>
          <w:sz w:val="20"/>
        </w:rPr>
        <w:t xml:space="preserve">3.5</w:t>
      </w:r>
      <w:r>
        <w:rPr>
          <w:sz w:val="20"/>
        </w:rPr>
        <w:t xml:space="preserve"> и </w:t>
      </w:r>
      <w:r>
        <w:rPr>
          <w:sz w:val="20"/>
        </w:rPr>
        <w:t xml:space="preserve">4 ст. 22</w:t>
      </w:r>
      <w:r>
        <w:rPr>
          <w:sz w:val="20"/>
        </w:rPr>
        <w:t xml:space="preserve"> Закона N 109-ФЗ (</w:t>
      </w:r>
      <w:r>
        <w:rPr>
          <w:sz w:val="20"/>
        </w:rPr>
        <w:t xml:space="preserve">ч. 2 ст. 20</w:t>
      </w:r>
      <w:r>
        <w:rPr>
          <w:sz w:val="20"/>
        </w:rPr>
        <w:t xml:space="preserve">, </w:t>
      </w:r>
      <w:r>
        <w:rPr>
          <w:sz w:val="20"/>
        </w:rPr>
        <w:t xml:space="preserve">пп. "а" п. 2 ч. 2 ст. 22</w:t>
      </w:r>
      <w:r>
        <w:rPr>
          <w:sz w:val="20"/>
        </w:rPr>
        <w:t xml:space="preserve"> Закона N 109-ФЗ).</w:t>
      </w:r>
    </w:p>
    <w:p>
      <w:pPr>
        <w:pStyle w:val="0"/>
        <w:spacing w:before="200" w:line-rule="auto"/>
        <w:jc w:val="both"/>
      </w:pPr>
      <w:r>
        <w:rPr>
          <w:sz w:val="20"/>
        </w:rPr>
        <w:t xml:space="preserve">При этом из </w:t>
      </w:r>
      <w:r>
        <w:rPr>
          <w:sz w:val="20"/>
        </w:rPr>
        <w:t xml:space="preserve">ст. 65</w:t>
      </w:r>
      <w:r>
        <w:rPr>
          <w:sz w:val="20"/>
        </w:rPr>
        <w:t xml:space="preserve"> ТК РФ не следует обязанность работника представить документы по постановке на миграционный учет, соответственно, работодатель не вправе отказать работнику в приеме на работу по этому основанию и в случае отсутствия миграционного учета у такого работника, по нашему мнению, организация вправе принять его на работу. Однако, учитывая вышеизложенное, если организация является принимающей стороной и не выполнит обязанности по постановке работника на миграционный учет, существует риск привлечения ее к административной ответственности по </w:t>
      </w:r>
      <w:r>
        <w:rPr>
          <w:sz w:val="20"/>
        </w:rPr>
        <w:t xml:space="preserve">ч. 4 ст. 18.9</w:t>
      </w:r>
      <w:r>
        <w:rPr>
          <w:sz w:val="20"/>
        </w:rPr>
        <w:t xml:space="preserve"> КоАП РФ.</w:t>
      </w:r>
    </w:p>
    <w:p>
      <w:pPr>
        <w:pStyle w:val="0"/>
        <w:spacing w:before="200" w:line-rule="auto"/>
        <w:jc w:val="both"/>
      </w:pPr>
      <w:r>
        <w:rPr>
          <w:sz w:val="20"/>
        </w:rPr>
        <w:t xml:space="preserve">Если организация не является принимающей стороной, привлечению к ответственности за неисполнение обязанности по миграционному учету иностранного гражданина подлежит лицо, фактически являющееся принимающей стороной, либо сам иностранный гражданин. Иностранный гражданин в таком случае привлекается по </w:t>
      </w:r>
      <w:r>
        <w:rPr>
          <w:sz w:val="20"/>
        </w:rPr>
        <w:t xml:space="preserve">ч. 1</w:t>
      </w:r>
      <w:r>
        <w:rPr>
          <w:sz w:val="20"/>
        </w:rPr>
        <w:t xml:space="preserve">, </w:t>
      </w:r>
      <w:r>
        <w:rPr>
          <w:sz w:val="20"/>
        </w:rPr>
        <w:t xml:space="preserve">3 ст. 18.8</w:t>
      </w:r>
      <w:r>
        <w:rPr>
          <w:sz w:val="20"/>
        </w:rPr>
        <w:t xml:space="preserve"> КоАП РФ.</w:t>
      </w:r>
    </w:p>
    <w:p>
      <w:pPr>
        <w:pStyle w:val="0"/>
        <w:spacing w:before="200" w:line-rule="auto"/>
        <w:jc w:val="both"/>
      </w:pPr>
      <w:r>
        <w:rPr>
          <w:sz w:val="20"/>
        </w:rPr>
        <w:t xml:space="preserve">Дополнительно отметим, что гражданам Республики Беларусь не требуется проходить процедуры обязательной государственной дактилоскопической регистрации и фотографирования, обязательного медицинского освидетельствования (</w:t>
      </w:r>
      <w:r>
        <w:rPr>
          <w:sz w:val="20"/>
        </w:rPr>
        <w:t xml:space="preserve">п. п. 13</w:t>
      </w:r>
      <w:r>
        <w:rPr>
          <w:sz w:val="20"/>
        </w:rPr>
        <w:t xml:space="preserve">, </w:t>
      </w:r>
      <w:r>
        <w:rPr>
          <w:sz w:val="20"/>
        </w:rPr>
        <w:t xml:space="preserve">18</w:t>
      </w:r>
      <w:r>
        <w:rPr>
          <w:sz w:val="20"/>
        </w:rPr>
        <w:t xml:space="preserve">, </w:t>
      </w:r>
      <w:r>
        <w:rPr>
          <w:sz w:val="20"/>
        </w:rPr>
        <w:t xml:space="preserve">пп. 1 п. 20 ст. 5</w:t>
      </w:r>
      <w:r>
        <w:rPr>
          <w:sz w:val="20"/>
        </w:rPr>
        <w:t xml:space="preserve"> Федерального закона от 25.07.2002 N 115-ФЗ "О правовом положении иностранных граждан в Российской Федерации").</w:t>
      </w:r>
    </w:p>
    <w:p>
      <w:pPr>
        <w:pStyle w:val="0"/>
        <w:jc w:val="both"/>
      </w:pPr>
      <w:r>
        <w:rPr>
          <w:sz w:val="20"/>
        </w:rPr>
      </w:r>
    </w:p>
    <w:p>
      <w:pPr>
        <w:pStyle w:val="0"/>
        <w:jc w:val="right"/>
      </w:pPr>
      <w:r>
        <w:rPr>
          <w:sz w:val="20"/>
        </w:rPr>
        <w:t xml:space="preserve">Подготовлено на основе материала</w:t>
      </w:r>
    </w:p>
    <w:p>
      <w:pPr>
        <w:pStyle w:val="0"/>
        <w:jc w:val="right"/>
      </w:pPr>
      <w:r>
        <w:rPr>
          <w:sz w:val="20"/>
        </w:rPr>
        <w:t xml:space="preserve">В.Г. Панфиловой</w:t>
      </w:r>
    </w:p>
    <w:p>
      <w:pPr>
        <w:pStyle w:val="0"/>
        <w:jc w:val="right"/>
      </w:pPr>
      <w:r>
        <w:rPr>
          <w:sz w:val="20"/>
        </w:rPr>
        <w:t xml:space="preserve">ООО "М-СТАЙЛ"</w:t>
      </w:r>
    </w:p>
    <w:p>
      <w:pPr>
        <w:pStyle w:val="0"/>
        <w:jc w:val="right"/>
      </w:pPr>
      <w:r>
        <w:rPr>
          <w:sz w:val="20"/>
        </w:rPr>
        <w:t xml:space="preserve">Региональный информационный центр</w:t>
      </w:r>
    </w:p>
    <w:p>
      <w:pPr>
        <w:pStyle w:val="0"/>
        <w:jc w:val="right"/>
      </w:pPr>
      <w:r>
        <w:rPr>
          <w:sz w:val="20"/>
        </w:rPr>
        <w:t xml:space="preserve">Сети КонсультантПлюс</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3"/>
      <w:headerReference w:type="first" r:id="rId3"/>
      <w:footerReference w:type="default" r:id="rId4"/>
      <w:footerReference w:type="first" r:id="rId4"/>
      <w:pgSz w:w="11906" w:h="16838"/>
      <w:pgMar w:top="1440" w:right="567" w:bottom="1440" w:left="1134"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Вопрос: Как оформить на работу гражданина Республики Беларусь и каков порядок заполнения его трудовой книжки?</w:t>
            <w:br/>
            <w:t>(Консульта...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21.04.2025</w:t>
          </w:r>
        </w:p>
      </w:tc>
    </w:tr>
  </w:tbl>
  <w:p>
    <w:pPr>
      <w:pBdr>
        <w:bottom w:val="single" w:sz="12" w:space="0" w:color="auto"/>
      </w:pBdr>
      <w:rPr>
        <w:sz w:val="2"/>
        <w:szCs w:val="2"/>
      </w:rPr>
    </w:pPr>
  </w:p>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1"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2"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3"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0"/>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header" Target="header1.xml"/>
	<Relationship Id="rId4" Type="http://schemas.openxmlformats.org/officeDocument/2006/relationships/footer" Target="footer1.xm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4025.00.02</Application>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Вопрос: Как оформить на работу гражданина Республики Беларусь и каков порядок заполнения его трудовой книжки?
(Консультация эксперта, 2025)</dc:title>
  <dcterms:created xsi:type="dcterms:W3CDTF">2025-04-21T10:34:25Z</dcterms:created>
</cp:coreProperties>
</file>